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tLeast" w:line="0"/>
        <w:ind w:left="0" w:right="0" w:hanging="0"/>
        <w:jc w:val="center"/>
        <w:rPr>
          <w:rFonts w:ascii="Arial" w:hAnsi="Arial" w:cs="Arial"/>
          <w:sz w:val="24"/>
        </w:rPr>
      </w:pPr>
      <w:r>
        <w:rPr>
          <w:rFonts w:eastAsia="Arial" w:cs="Arial" w:ascii="Arial" w:hAnsi="Arial"/>
          <w:b/>
          <w:color w:val="auto"/>
          <w:kern w:val="2"/>
          <w:sz w:val="24"/>
          <w:szCs w:val="24"/>
          <w:lang w:val="pt-BR" w:eastAsia="zh-CN" w:bidi="hi-IN"/>
        </w:rPr>
        <w:t>IMPUGNAÇÃO DE LANÇAMENTO OU RECURSO</w:t>
      </w:r>
    </w:p>
    <w:p>
      <w:pPr>
        <w:pStyle w:val="Normal"/>
        <w:spacing w:lineRule="atLeast" w:line="0"/>
        <w:ind w:left="0" w:right="0" w:hanging="0"/>
        <w:jc w:val="center"/>
        <w:rPr>
          <w:rFonts w:ascii="Arial" w:hAnsi="Arial" w:eastAsia="Arial" w:cs="Arial"/>
          <w:b/>
          <w:b/>
          <w:color w:val="auto"/>
          <w:kern w:val="2"/>
          <w:sz w:val="24"/>
          <w:szCs w:val="24"/>
          <w:u w:val="none"/>
          <w:lang w:val="pt-BR" w:eastAsia="zh-CN" w:bidi="hi-IN"/>
        </w:rPr>
      </w:pPr>
      <w:r>
        <w:rPr>
          <w:rFonts w:eastAsia="Arial" w:cs="Arial" w:ascii="Arial" w:hAnsi="Arial"/>
          <w:b/>
          <w:color w:val="auto"/>
          <w:kern w:val="2"/>
          <w:sz w:val="24"/>
          <w:szCs w:val="24"/>
          <w:u w:val="none"/>
          <w:lang w:val="pt-BR" w:eastAsia="zh-CN" w:bidi="hi-IN"/>
        </w:rPr>
        <w:t>(Arts. 173 e 177 da Lei n° 2.805/77 e Decreto n° 25.249/2021)</w:t>
      </w:r>
    </w:p>
    <w:tbl>
      <w:tblPr>
        <w:tblW w:w="9638" w:type="dxa"/>
        <w:jc w:val="lef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22"/>
        <w:gridCol w:w="479"/>
        <w:gridCol w:w="866"/>
        <w:gridCol w:w="1284"/>
        <w:gridCol w:w="820"/>
        <w:gridCol w:w="4966"/>
      </w:tblGrid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kern w:val="2"/>
                <w:sz w:val="24"/>
                <w:szCs w:val="24"/>
                <w:shd w:fill="B2B2B2" w:val="clear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2"/>
                <w:sz w:val="24"/>
                <w:szCs w:val="24"/>
                <w:shd w:fill="B2B2B2" w:val="clear"/>
                <w:lang w:val="pt-BR" w:eastAsia="zh-CN" w:bidi="hi-IN"/>
              </w:rPr>
              <w:t>ÓRGÃO JULGADOR</w:t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Arial" w:hAnsi="Arial"/>
              </w:rPr>
              <w:instrText> FORMCHECKBOX </w:instrText>
            </w:r>
            <w:r>
              <w:rPr>
                <w:sz w:val="24"/>
                <w:szCs w:val="24"/>
                <w:rFonts w:ascii="Arial" w:hAnsi="Arial"/>
              </w:rPr>
              <w:fldChar w:fldCharType="separate"/>
            </w:r>
            <w:bookmarkStart w:id="0" w:name="__Fieldmark__14_3574210723"/>
            <w:bookmarkStart w:id="1" w:name="__Fieldmark__14_3574210723"/>
            <w:bookmarkEnd w:id="1"/>
            <w:r>
              <w:rPr>
                <w:rFonts w:ascii="Arial" w:hAnsi="Arial"/>
                <w:sz w:val="24"/>
                <w:szCs w:val="24"/>
              </w:rPr>
            </w:r>
            <w:r>
              <w:rPr>
                <w:sz w:val="24"/>
                <w:szCs w:val="24"/>
                <w:rFonts w:ascii="Arial" w:hAnsi="Arial"/>
              </w:rPr>
              <w:fldChar w:fldCharType="end"/>
            </w:r>
            <w:bookmarkStart w:id="2" w:name="__Fieldmark__34_966125309"/>
            <w:bookmarkEnd w:id="2"/>
            <w:r>
              <w:rPr>
                <w:rFonts w:eastAsia="Arial" w:cs="Times New Roman" w:ascii="Arial" w:hAnsi="Arial"/>
                <w:b/>
                <w:bCs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  <w:t>JURF (PRIMEIRA INSTÂNCIA)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Arial" w:hAnsi="Arial"/>
              </w:rPr>
              <w:instrText> FORMCHECKBOX </w:instrText>
            </w:r>
            <w:r>
              <w:rPr>
                <w:sz w:val="24"/>
                <w:szCs w:val="24"/>
                <w:rFonts w:ascii="Arial" w:hAnsi="Arial"/>
              </w:rPr>
              <w:fldChar w:fldCharType="separate"/>
            </w:r>
            <w:bookmarkStart w:id="3" w:name="__Fieldmark__23_3574210723"/>
            <w:bookmarkStart w:id="4" w:name="__Fieldmark__23_3574210723"/>
            <w:bookmarkEnd w:id="4"/>
            <w:r>
              <w:rPr>
                <w:rFonts w:ascii="Arial" w:hAnsi="Arial"/>
                <w:sz w:val="24"/>
                <w:szCs w:val="24"/>
              </w:rPr>
            </w:r>
            <w:r>
              <w:rPr>
                <w:sz w:val="24"/>
                <w:szCs w:val="24"/>
                <w:rFonts w:ascii="Arial" w:hAnsi="Arial"/>
              </w:rPr>
              <w:fldChar w:fldCharType="end"/>
            </w:r>
            <w:bookmarkStart w:id="5" w:name="__Fieldmark__40_966125309"/>
            <w:bookmarkEnd w:id="5"/>
            <w:r>
              <w:rPr>
                <w:rFonts w:eastAsia="Arial" w:cs="Times New Roman" w:ascii="Arial" w:hAnsi="Arial"/>
                <w:b/>
                <w:bCs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  <w:t>CCON (SEGUNDA INSTÂNCIA)</w:t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4"/>
                <w:shd w:fill="B2B2B2" w:val="clear"/>
              </w:rPr>
            </w:pPr>
            <w:r>
              <w:rPr>
                <w:rFonts w:eastAsia="Arial" w:cs="Arial" w:ascii="Arial" w:hAnsi="Arial"/>
                <w:b/>
                <w:sz w:val="24"/>
                <w:shd w:fill="B2B2B2" w:val="clear"/>
              </w:rPr>
              <w:t xml:space="preserve">DADOS DO </w:t>
            </w:r>
            <w:r>
              <w:rPr>
                <w:rFonts w:eastAsia="Arial" w:cs="Arial" w:ascii="Arial" w:hAnsi="Arial"/>
                <w:b/>
                <w:color w:val="000000"/>
                <w:kern w:val="2"/>
                <w:sz w:val="24"/>
                <w:szCs w:val="24"/>
                <w:shd w:fill="B2B2B2" w:val="clear"/>
                <w:lang w:val="pt-BR" w:eastAsia="zh-CN" w:bidi="hi-IN"/>
              </w:rPr>
              <w:t>IMPUGNANTE/RECORRENTE</w:t>
            </w:r>
          </w:p>
        </w:tc>
      </w:tr>
      <w:tr>
        <w:trPr/>
        <w:tc>
          <w:tcPr>
            <w:tcW w:w="2567" w:type="dxa"/>
            <w:gridSpan w:val="3"/>
            <w:tcBorders/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color w:val="auto"/>
                <w:kern w:val="2"/>
                <w:sz w:val="24"/>
                <w:szCs w:val="24"/>
                <w:lang w:val="pt-BR" w:eastAsia="zh-CN" w:bidi="hi-IN"/>
              </w:rPr>
              <w:t>Nome</w:t>
            </w:r>
            <w:r>
              <w:rPr>
                <w:rFonts w:eastAsia="Arial" w:cs="Arial" w:ascii="Arial" w:hAnsi="Arial"/>
                <w:sz w:val="24"/>
              </w:rPr>
              <w:t xml:space="preserve"> ou razão social</w:t>
            </w:r>
          </w:p>
        </w:tc>
        <w:tc>
          <w:tcPr>
            <w:tcW w:w="7070" w:type="dxa"/>
            <w:gridSpan w:val="3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701" w:type="dxa"/>
            <w:gridSpan w:val="2"/>
            <w:tcBorders/>
          </w:tcPr>
          <w:p>
            <w:pPr>
              <w:pStyle w:val="Contedodatabela"/>
              <w:widowControl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CPF ou CNPJ</w:t>
            </w:r>
          </w:p>
        </w:tc>
        <w:tc>
          <w:tcPr>
            <w:tcW w:w="7936" w:type="dxa"/>
            <w:gridSpan w:val="4"/>
            <w:tcBorders/>
          </w:tcPr>
          <w:p>
            <w:pPr>
              <w:pStyle w:val="Contedodatabela"/>
              <w:widowControl w:val="false"/>
              <w:snapToGrid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851" w:type="dxa"/>
            <w:gridSpan w:val="4"/>
            <w:tcBorders/>
          </w:tcPr>
          <w:p>
            <w:pPr>
              <w:pStyle w:val="Contedodatabela"/>
              <w:widowControl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Endereço para correspondência</w:t>
            </w:r>
          </w:p>
        </w:tc>
        <w:tc>
          <w:tcPr>
            <w:tcW w:w="5786" w:type="dxa"/>
            <w:gridSpan w:val="2"/>
            <w:tcBorders/>
          </w:tcPr>
          <w:p>
            <w:pPr>
              <w:pStyle w:val="Contedodatabela"/>
              <w:widowControl w:val="false"/>
              <w:snapToGrid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Contedodatabela"/>
              <w:widowControl w:val="false"/>
              <w:snapToGrid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222" w:type="dxa"/>
            <w:tcBorders/>
          </w:tcPr>
          <w:p>
            <w:pPr>
              <w:pStyle w:val="Contedodatabela"/>
              <w:widowControl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Telefone</w:t>
            </w:r>
          </w:p>
        </w:tc>
        <w:tc>
          <w:tcPr>
            <w:tcW w:w="2629" w:type="dxa"/>
            <w:gridSpan w:val="3"/>
            <w:tcBorders/>
          </w:tcPr>
          <w:p>
            <w:pPr>
              <w:pStyle w:val="Contedodatabela"/>
              <w:widowControl w:val="false"/>
              <w:snapToGrid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20" w:type="dxa"/>
            <w:tcBorders/>
          </w:tcPr>
          <w:p>
            <w:pPr>
              <w:pStyle w:val="Contedodatabela"/>
              <w:widowControl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E-mail</w:t>
            </w:r>
          </w:p>
        </w:tc>
        <w:tc>
          <w:tcPr>
            <w:tcW w:w="4966" w:type="dxa"/>
            <w:tcBorders/>
          </w:tcPr>
          <w:p>
            <w:pPr>
              <w:pStyle w:val="Contedodatabela"/>
              <w:widowControl w:val="false"/>
              <w:snapToGrid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666666"/>
                <w:kern w:val="2"/>
                <w:sz w:val="24"/>
                <w:szCs w:val="24"/>
                <w:shd w:fill="808080" w:val="clear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color w:val="666666"/>
                <w:kern w:val="2"/>
                <w:sz w:val="24"/>
                <w:szCs w:val="24"/>
                <w:shd w:fill="808080" w:val="clear"/>
                <w:lang w:val="pt-BR" w:eastAsia="zh-CN" w:bidi="hi-IN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kern w:val="2"/>
                <w:sz w:val="24"/>
                <w:szCs w:val="24"/>
                <w:shd w:fill="B2B2B2" w:val="clear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2"/>
                <w:sz w:val="24"/>
                <w:szCs w:val="24"/>
                <w:shd w:fill="B2B2B2" w:val="clear"/>
                <w:lang w:val="pt-BR" w:eastAsia="zh-CN" w:bidi="hi-IN"/>
              </w:rPr>
              <w:t>OBJETO DA IMPUGNAÇÃO/RECURSO</w:t>
            </w:r>
          </w:p>
        </w:tc>
      </w:tr>
      <w:tr>
        <w:trPr>
          <w:trHeight w:val="464" w:hRule="atLeast"/>
        </w:trPr>
        <w:tc>
          <w:tcPr>
            <w:tcW w:w="963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40" w:after="40"/>
              <w:ind w:left="0" w:right="74" w:hanging="0"/>
              <w:jc w:val="left"/>
              <w:textAlignment w:val="center"/>
              <w:rPr>
                <w:rFonts w:ascii="Arial" w:hAnsi="Arial" w:eastAsia="Arial" w:cs="Arial"/>
                <w:b/>
                <w:b/>
                <w:bCs/>
                <w:color w:val="666666"/>
                <w:kern w:val="2"/>
                <w:sz w:val="20"/>
                <w:szCs w:val="20"/>
                <w:shd w:fill="808080" w:val="clear"/>
                <w:lang w:val="pt-BR" w:eastAsia="zh-CN" w:bidi="hi-I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ascii="Arial" w:hAnsi="Arial"/>
              </w:rPr>
              <w:instrText> FORMCHECKBOX </w:instrText>
            </w:r>
            <w:r>
              <w:rPr>
                <w:sz w:val="20"/>
                <w:szCs w:val="20"/>
                <w:rFonts w:ascii="Arial" w:hAnsi="Arial"/>
              </w:rPr>
              <w:fldChar w:fldCharType="separate"/>
            </w:r>
            <w:bookmarkStart w:id="6" w:name="__Fieldmark__43_3574210723"/>
            <w:bookmarkStart w:id="7" w:name="__Fieldmark__43_3574210723"/>
            <w:bookmarkEnd w:id="7"/>
            <w:r>
              <w:rPr>
                <w:rFonts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ascii="Arial" w:hAnsi="Arial"/>
              </w:rPr>
              <w:fldChar w:fldCharType="end"/>
            </w:r>
            <w:bookmarkStart w:id="8" w:name="__Fieldmark__99_966125309"/>
            <w:bookmarkEnd w:id="8"/>
            <w:r>
              <w:rPr>
                <w:rFonts w:eastAsia="Arial" w:cs="Times New Roman" w:ascii="Arial" w:hAnsi="Arial"/>
                <w:b/>
                <w:bCs/>
                <w:color w:val="000000"/>
                <w:kern w:val="2"/>
                <w:sz w:val="20"/>
                <w:szCs w:val="20"/>
                <w:shd w:fill="auto" w:val="clear"/>
                <w:lang w:val="pt-BR" w:eastAsia="zh-CN" w:bidi="hi-IN"/>
              </w:rPr>
              <w:t xml:space="preserve"> </w:t>
            </w:r>
            <w:r>
              <w:rPr>
                <w:rFonts w:eastAsia="SimSun" w:cs="Times New Roman" w:ascii="Arial" w:hAnsi="Arial"/>
                <w:b w:val="false"/>
                <w:bCs w:val="false"/>
                <w:color w:val="000000"/>
                <w:kern w:val="2"/>
                <w:sz w:val="20"/>
                <w:szCs w:val="20"/>
                <w:shd w:fill="auto" w:val="clear"/>
                <w:lang w:val="pt-BR" w:eastAsia="zh-CN" w:bidi="hi-IN"/>
              </w:rPr>
              <w:t>Auto de infração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40" w:after="40"/>
              <w:ind w:left="0" w:right="74" w:hanging="0"/>
              <w:jc w:val="left"/>
              <w:textAlignment w:val="center"/>
              <w:rPr>
                <w:rFonts w:ascii="Arial" w:hAnsi="Arial" w:eastAsia="Arial" w:cs="Arial"/>
                <w:b/>
                <w:b/>
                <w:bCs/>
                <w:color w:val="666666"/>
                <w:kern w:val="2"/>
                <w:sz w:val="20"/>
                <w:szCs w:val="20"/>
                <w:shd w:fill="808080" w:val="clear"/>
                <w:lang w:val="pt-BR" w:eastAsia="zh-CN" w:bidi="hi-I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ascii="Arial" w:hAnsi="Arial"/>
              </w:rPr>
              <w:instrText> FORMCHECKBOX </w:instrText>
            </w:r>
            <w:r>
              <w:rPr>
                <w:sz w:val="20"/>
                <w:szCs w:val="20"/>
                <w:rFonts w:ascii="Arial" w:hAnsi="Arial"/>
              </w:rPr>
              <w:fldChar w:fldCharType="separate"/>
            </w:r>
            <w:bookmarkStart w:id="9" w:name="__Fieldmark__52_3574210723"/>
            <w:bookmarkStart w:id="10" w:name="__Fieldmark__52_3574210723"/>
            <w:bookmarkEnd w:id="10"/>
            <w:r>
              <w:rPr>
                <w:rFonts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ascii="Arial" w:hAnsi="Arial"/>
              </w:rPr>
              <w:fldChar w:fldCharType="end"/>
            </w:r>
            <w:bookmarkStart w:id="11" w:name="__Fieldmark__107_966125309"/>
            <w:bookmarkEnd w:id="11"/>
            <w:r>
              <w:rPr>
                <w:rFonts w:eastAsia="SimSun" w:cs="Times New Roman" w:ascii="Arial" w:hAnsi="Arial"/>
                <w:b/>
                <w:bCs/>
                <w:color w:val="000000"/>
                <w:kern w:val="2"/>
                <w:sz w:val="20"/>
                <w:szCs w:val="20"/>
                <w:shd w:fill="auto" w:val="clear"/>
                <w:lang w:val="pt-BR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kern w:val="2"/>
                <w:sz w:val="20"/>
                <w:szCs w:val="20"/>
                <w:shd w:fill="auto" w:val="clear"/>
                <w:lang w:val="pt-BR" w:eastAsia="zh-CN" w:bidi="hi-IN"/>
              </w:rPr>
              <w:t>Lançamento de IPTU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40" w:after="40"/>
              <w:ind w:left="0" w:right="74" w:hanging="0"/>
              <w:jc w:val="left"/>
              <w:textAlignment w:val="center"/>
              <w:rPr>
                <w:rFonts w:ascii="Arial" w:hAnsi="Arial" w:eastAsia="Arial" w:cs="Arial"/>
                <w:b/>
                <w:b/>
                <w:bCs/>
                <w:color w:val="666666"/>
                <w:kern w:val="2"/>
                <w:sz w:val="20"/>
                <w:szCs w:val="20"/>
                <w:shd w:fill="808080" w:val="clear"/>
                <w:lang w:val="pt-BR" w:eastAsia="zh-CN" w:bidi="hi-I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ascii="Arial" w:hAnsi="Arial"/>
              </w:rPr>
              <w:instrText> FORMCHECKBOX </w:instrText>
            </w:r>
            <w:r>
              <w:rPr>
                <w:sz w:val="20"/>
                <w:szCs w:val="20"/>
                <w:rFonts w:ascii="Arial" w:hAnsi="Arial"/>
              </w:rPr>
              <w:fldChar w:fldCharType="separate"/>
            </w:r>
            <w:bookmarkStart w:id="12" w:name="__Fieldmark__61_3574210723"/>
            <w:bookmarkStart w:id="13" w:name="__Fieldmark__61_3574210723"/>
            <w:bookmarkEnd w:id="13"/>
            <w:r>
              <w:rPr>
                <w:rFonts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ascii="Arial" w:hAnsi="Arial"/>
              </w:rPr>
              <w:fldChar w:fldCharType="end"/>
            </w:r>
            <w:bookmarkStart w:id="14" w:name="__Fieldmark__115_966125309"/>
            <w:bookmarkEnd w:id="14"/>
            <w:r>
              <w:rPr>
                <w:rFonts w:eastAsia="SimSun" w:cs="Times New Roman" w:ascii="Arial" w:hAnsi="Arial"/>
                <w:b/>
                <w:bCs/>
                <w:color w:val="000000"/>
                <w:kern w:val="2"/>
                <w:sz w:val="20"/>
                <w:szCs w:val="20"/>
                <w:shd w:fill="auto" w:val="clear"/>
                <w:lang w:val="pt-BR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kern w:val="2"/>
                <w:sz w:val="20"/>
                <w:szCs w:val="20"/>
                <w:shd w:fill="auto" w:val="clear"/>
                <w:lang w:val="pt-BR" w:eastAsia="zh-CN" w:bidi="hi-IN"/>
              </w:rPr>
              <w:t>Lançamento de TFLF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40" w:after="40"/>
              <w:ind w:left="0" w:right="74" w:hanging="0"/>
              <w:jc w:val="left"/>
              <w:textAlignment w:val="center"/>
              <w:rPr>
                <w:rFonts w:ascii="Arial" w:hAnsi="Arial" w:eastAsia="Arial" w:cs="Arial"/>
                <w:b/>
                <w:b/>
                <w:bCs/>
                <w:color w:val="666666"/>
                <w:kern w:val="2"/>
                <w:sz w:val="20"/>
                <w:szCs w:val="20"/>
                <w:shd w:fill="808080" w:val="clear"/>
                <w:lang w:val="pt-BR" w:eastAsia="zh-CN" w:bidi="hi-I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ascii="Arial" w:hAnsi="Arial"/>
              </w:rPr>
              <w:instrText> FORMCHECKBOX </w:instrText>
            </w:r>
            <w:r>
              <w:rPr>
                <w:sz w:val="20"/>
                <w:szCs w:val="20"/>
                <w:rFonts w:ascii="Arial" w:hAnsi="Arial"/>
              </w:rPr>
              <w:fldChar w:fldCharType="separate"/>
            </w:r>
            <w:bookmarkStart w:id="15" w:name="__Fieldmark__70_3574210723"/>
            <w:bookmarkStart w:id="16" w:name="__Fieldmark__70_3574210723"/>
            <w:bookmarkEnd w:id="16"/>
            <w:r>
              <w:rPr>
                <w:rFonts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ascii="Arial" w:hAnsi="Arial"/>
              </w:rPr>
              <w:fldChar w:fldCharType="end"/>
            </w:r>
            <w:bookmarkStart w:id="17" w:name="__Fieldmark__123_966125309"/>
            <w:bookmarkEnd w:id="17"/>
            <w:r>
              <w:rPr>
                <w:rFonts w:eastAsia="SimSun" w:cs="Times New Roman" w:ascii="Arial" w:hAnsi="Arial"/>
                <w:b/>
                <w:bCs/>
                <w:color w:val="000000"/>
                <w:kern w:val="2"/>
                <w:sz w:val="20"/>
                <w:szCs w:val="20"/>
                <w:shd w:fill="auto" w:val="clear"/>
                <w:lang w:val="pt-BR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kern w:val="2"/>
                <w:sz w:val="20"/>
                <w:szCs w:val="20"/>
                <w:shd w:fill="auto" w:val="clear"/>
                <w:lang w:val="pt-BR" w:eastAsia="zh-CN" w:bidi="hi-IN"/>
              </w:rPr>
              <w:t>Lançamento de TFA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40" w:after="40"/>
              <w:ind w:left="0" w:right="74" w:hanging="0"/>
              <w:jc w:val="left"/>
              <w:textAlignment w:val="center"/>
              <w:rPr>
                <w:rFonts w:ascii="Arial" w:hAnsi="Arial" w:eastAsia="Arial" w:cs="Arial"/>
                <w:b/>
                <w:b/>
                <w:bCs/>
                <w:color w:val="666666"/>
                <w:kern w:val="2"/>
                <w:sz w:val="20"/>
                <w:szCs w:val="20"/>
                <w:shd w:fill="808080" w:val="clear"/>
                <w:lang w:val="pt-BR" w:eastAsia="zh-CN" w:bidi="hi-I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ascii="Arial" w:hAnsi="Arial"/>
              </w:rPr>
              <w:instrText> FORMCHECKBOX </w:instrText>
            </w:r>
            <w:r>
              <w:rPr>
                <w:sz w:val="20"/>
                <w:szCs w:val="20"/>
                <w:rFonts w:ascii="Arial" w:hAnsi="Arial"/>
              </w:rPr>
              <w:fldChar w:fldCharType="separate"/>
            </w:r>
            <w:bookmarkStart w:id="18" w:name="__Fieldmark__79_3574210723"/>
            <w:bookmarkStart w:id="19" w:name="__Fieldmark__79_3574210723"/>
            <w:bookmarkEnd w:id="19"/>
            <w:r>
              <w:rPr>
                <w:rFonts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ascii="Arial" w:hAnsi="Arial"/>
              </w:rPr>
              <w:fldChar w:fldCharType="end"/>
            </w:r>
            <w:bookmarkStart w:id="20" w:name="__Fieldmark__131_966125309"/>
            <w:bookmarkEnd w:id="20"/>
            <w:r>
              <w:rPr>
                <w:rFonts w:eastAsia="SimSun" w:cs="Times New Roman" w:ascii="Arial" w:hAnsi="Arial"/>
                <w:b/>
                <w:bCs/>
                <w:color w:val="000000"/>
                <w:kern w:val="2"/>
                <w:sz w:val="20"/>
                <w:szCs w:val="20"/>
                <w:shd w:fill="auto" w:val="clear"/>
                <w:lang w:val="pt-BR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kern w:val="2"/>
                <w:sz w:val="20"/>
                <w:szCs w:val="20"/>
                <w:shd w:fill="auto" w:val="clear"/>
                <w:lang w:val="pt-BR" w:eastAsia="zh-CN" w:bidi="hi-IN"/>
              </w:rPr>
              <w:t>Lançamento de ISS-FIXO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40" w:after="40"/>
              <w:ind w:left="0" w:right="74" w:hanging="0"/>
              <w:jc w:val="left"/>
              <w:textAlignment w:val="center"/>
              <w:rPr>
                <w:rFonts w:ascii="Arial" w:hAnsi="Arial" w:eastAsia="Arial" w:cs="Arial"/>
                <w:b/>
                <w:b/>
                <w:bCs/>
                <w:color w:val="666666"/>
                <w:kern w:val="2"/>
                <w:sz w:val="20"/>
                <w:szCs w:val="20"/>
                <w:shd w:fill="808080" w:val="clear"/>
                <w:lang w:val="pt-BR" w:eastAsia="zh-CN" w:bidi="hi-I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ascii="Arial" w:hAnsi="Arial"/>
              </w:rPr>
              <w:instrText> FORMCHECKBOX </w:instrText>
            </w:r>
            <w:r>
              <w:rPr>
                <w:sz w:val="20"/>
                <w:szCs w:val="20"/>
                <w:rFonts w:ascii="Arial" w:hAnsi="Arial"/>
              </w:rPr>
              <w:fldChar w:fldCharType="separate"/>
            </w:r>
            <w:bookmarkStart w:id="21" w:name="__Fieldmark__88_3574210723"/>
            <w:bookmarkStart w:id="22" w:name="__Fieldmark__88_3574210723"/>
            <w:bookmarkEnd w:id="22"/>
            <w:r>
              <w:rPr>
                <w:rFonts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ascii="Arial" w:hAnsi="Arial"/>
              </w:rPr>
              <w:fldChar w:fldCharType="end"/>
            </w:r>
            <w:bookmarkStart w:id="23" w:name="__Fieldmark__139_966125309"/>
            <w:bookmarkEnd w:id="23"/>
            <w:r>
              <w:rPr>
                <w:rFonts w:eastAsia="SimSun" w:cs="Times New Roman" w:ascii="Arial" w:hAnsi="Arial"/>
                <w:b w:val="false"/>
                <w:bCs w:val="false"/>
                <w:color w:val="000000"/>
                <w:kern w:val="2"/>
                <w:sz w:val="20"/>
                <w:szCs w:val="20"/>
                <w:shd w:fill="auto" w:val="clear"/>
                <w:lang w:val="pt-BR" w:eastAsia="zh-CN" w:bidi="hi-IN"/>
              </w:rPr>
              <w:t xml:space="preserve"> Decisão de primeira instância da JURF</w:t>
            </w:r>
          </w:p>
        </w:tc>
      </w:tr>
      <w:tr>
        <w:trPr>
          <w:trHeight w:val="288" w:hRule="atLeast"/>
        </w:trPr>
        <w:tc>
          <w:tcPr>
            <w:tcW w:w="963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40" w:after="40"/>
              <w:ind w:left="0" w:right="74" w:hanging="0"/>
              <w:jc w:val="left"/>
              <w:textAlignment w:val="center"/>
              <w:rPr>
                <w:rFonts w:ascii="Arial" w:hAnsi="Arial" w:eastAsia="Arial" w:cs="Arial"/>
                <w:b w:val="false"/>
                <w:b w:val="false"/>
                <w:color w:val="666666"/>
                <w:kern w:val="2"/>
                <w:sz w:val="24"/>
                <w:szCs w:val="24"/>
                <w:shd w:fill="808080" w:val="clear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color w:val="666666"/>
                <w:kern w:val="2"/>
                <w:sz w:val="24"/>
                <w:szCs w:val="24"/>
                <w:shd w:fill="808080" w:val="clear"/>
                <w:lang w:val="pt-BR" w:eastAsia="zh-CN" w:bidi="hi-IN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kern w:val="2"/>
                <w:sz w:val="24"/>
                <w:szCs w:val="24"/>
                <w:shd w:fill="999999" w:val="clear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2"/>
                <w:sz w:val="24"/>
                <w:szCs w:val="24"/>
                <w:shd w:fill="999999" w:val="clear"/>
                <w:lang w:val="pt-BR" w:eastAsia="zh-CN" w:bidi="hi-IN"/>
              </w:rPr>
              <w:t>REQUERIMENTO</w:t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color w:val="auto"/>
                <w:kern w:val="2"/>
                <w:sz w:val="20"/>
                <w:szCs w:val="20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auto"/>
                <w:kern w:val="2"/>
                <w:sz w:val="20"/>
                <w:szCs w:val="20"/>
                <w:lang w:val="pt-BR" w:eastAsia="zh-CN" w:bidi="hi-IN"/>
              </w:rPr>
              <w:t xml:space="preserve">A pessoa física ou jurídica acima identificada, não se conformando com o Auto de Infração/Notificação </w:t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color w:val="auto"/>
                <w:kern w:val="2"/>
                <w:sz w:val="20"/>
                <w:szCs w:val="20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auto"/>
                <w:kern w:val="2"/>
                <w:sz w:val="20"/>
                <w:szCs w:val="20"/>
                <w:lang w:val="pt-BR" w:eastAsia="zh-CN" w:bidi="hi-IN"/>
              </w:rPr>
              <w:t xml:space="preserve">de Lançamento/decisão de primeira instância da JURF, conforme identificado acima, vem, </w:t>
            </w:r>
          </w:p>
          <w:tbl>
            <w:tblPr>
              <w:tblW w:w="9346" w:type="dxa"/>
              <w:jc w:val="center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46"/>
            </w:tblGrid>
            <w:tr>
              <w:trPr>
                <w:trHeight w:val="102" w:hRule="atLeast"/>
              </w:trPr>
              <w:tc>
                <w:tcPr>
                  <w:tcW w:w="9346" w:type="dxa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76"/>
                    <w:ind w:left="0" w:right="0" w:hanging="0"/>
                    <w:jc w:val="both"/>
                    <w:rPr>
                      <w:rFonts w:ascii="Arial" w:hAnsi="Arial" w:eastAsia="Arial" w:cs="Arial"/>
                      <w:b w:val="false"/>
                      <w:b w:val="false"/>
                      <w:bCs w:val="false"/>
                      <w:color w:val="auto"/>
                      <w:kern w:val="2"/>
                      <w:sz w:val="20"/>
                      <w:szCs w:val="20"/>
                      <w:lang w:val="pt-BR" w:eastAsia="zh-CN" w:bidi="hi-IN"/>
                    </w:rPr>
                  </w:pPr>
                  <w:r>
                    <w:rPr>
                      <w:rFonts w:eastAsia="Arial" w:cs="Arial" w:ascii="Arial" w:hAnsi="Arial"/>
                      <w:b w:val="false"/>
                      <w:bCs w:val="false"/>
                      <w:color w:val="auto"/>
                      <w:kern w:val="2"/>
                      <w:sz w:val="20"/>
                      <w:szCs w:val="20"/>
                      <w:lang w:val="pt-BR" w:eastAsia="zh-CN" w:bidi="hi-IN"/>
                    </w:rPr>
                    <w:t xml:space="preserve">respeitosamente, no prazo legal, com amparo no art. 173 ou 177 da Lei n° 2805/77 e no Decreto </w:t>
                  </w:r>
                </w:p>
              </w:tc>
            </w:tr>
            <w:tr>
              <w:trPr/>
              <w:tc>
                <w:tcPr>
                  <w:tcW w:w="9346" w:type="dxa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76"/>
                    <w:ind w:left="0" w:right="0" w:hanging="0"/>
                    <w:jc w:val="both"/>
                    <w:rPr>
                      <w:rFonts w:ascii="Arial" w:hAnsi="Arial" w:eastAsia="Arial" w:cs="Arial"/>
                      <w:b w:val="false"/>
                      <w:b w:val="false"/>
                      <w:bCs w:val="false"/>
                      <w:color w:val="auto"/>
                      <w:kern w:val="2"/>
                      <w:sz w:val="20"/>
                      <w:szCs w:val="20"/>
                      <w:lang w:val="pt-BR" w:eastAsia="zh-CN" w:bidi="hi-IN"/>
                    </w:rPr>
                  </w:pPr>
                  <w:r>
                    <w:rPr>
                      <w:rFonts w:eastAsia="Arial" w:cs="Arial" w:ascii="Arial" w:hAnsi="Arial"/>
                      <w:b w:val="false"/>
                      <w:bCs w:val="false"/>
                      <w:color w:val="auto"/>
                      <w:kern w:val="2"/>
                      <w:sz w:val="20"/>
                      <w:szCs w:val="20"/>
                      <w:lang w:val="pt-BR" w:eastAsia="zh-CN" w:bidi="hi-IN"/>
                    </w:rPr>
                    <w:t>25.249/2021, apresentar sua impugnação/recurso, pelos motivos de fato e de direito que se seguem: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102" w:hRule="atLeast"/>
        </w:trPr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color w:val="auto"/>
                <w:kern w:val="2"/>
                <w:sz w:val="20"/>
                <w:szCs w:val="20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auto"/>
                <w:kern w:val="2"/>
                <w:sz w:val="20"/>
                <w:szCs w:val="20"/>
                <w:lang w:val="pt-BR" w:eastAsia="zh-CN" w:bidi="hi-IN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tLeast" w:line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tLeast" w:line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tLeast" w:line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tLeast" w:line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tLeast" w:line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tLeast" w:line="0"/>
              <w:ind w:left="0" w:right="0" w:hanging="0"/>
              <w:jc w:val="left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tbl>
            <w:tblPr>
              <w:tblW w:w="964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48"/>
            </w:tblGrid>
            <w:tr>
              <w:trPr>
                <w:trHeight w:val="262" w:hRule="atLeast"/>
              </w:trPr>
              <w:tc>
                <w:tcPr>
                  <w:tcW w:w="9648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40" w:after="40"/>
                    <w:ind w:left="0" w:right="74" w:hanging="0"/>
                    <w:jc w:val="left"/>
                    <w:rPr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/>
                    <w:instrText> FORMCHECKBOX </w:instrText>
                  </w:r>
                  <w:r>
                    <w:rPr/>
                    <w:fldChar w:fldCharType="separate"/>
                  </w:r>
                  <w:bookmarkStart w:id="24" w:name="__Fieldmark__115_3574210723"/>
                  <w:bookmarkStart w:id="25" w:name="__Fieldmark__115_3574210723"/>
                  <w:bookmarkEnd w:id="25"/>
                  <w:r>
                    <w:rPr/>
                  </w:r>
                  <w:r>
                    <w:rPr/>
                    <w:fldChar w:fldCharType="end"/>
                  </w:r>
                  <w:bookmarkStart w:id="26" w:name="__Fieldmark__217_966125309"/>
                  <w:bookmarkEnd w:id="26"/>
                  <w:r>
                    <w:rPr>
                      <w:rFonts w:cs="Times New Roman" w:ascii="Times New Roman" w:hAnsi="Times New Roman"/>
                      <w:b w:val="false"/>
                      <w:bCs w:val="false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SimSun" w:cs="Arial"/>
                      <w:b/>
                      <w:bCs/>
                      <w:color w:val="auto"/>
                      <w:kern w:val="2"/>
                      <w:sz w:val="20"/>
                      <w:szCs w:val="20"/>
                      <w:lang w:val="pt-BR" w:eastAsia="zh-CN" w:bidi="hi-IN"/>
                    </w:rPr>
                    <w:t>Fundamentação em anexo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(caso a espaço acima não seja suficiente)</w:t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tLeast" w:line="0"/>
              <w:ind w:left="0" w:right="0" w:hanging="0"/>
              <w:jc w:val="left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pacing w:lineRule="atLeast" w:line="0"/>
              <w:ind w:left="0" w:right="0" w:hanging="0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  <w:t>Nestes Termos</w:t>
            </w:r>
          </w:p>
          <w:p>
            <w:pPr>
              <w:pStyle w:val="Normal"/>
              <w:widowControl w:val="false"/>
              <w:spacing w:lineRule="atLeast" w:line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  <w:t>Pede Deferimento</w:t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tLeast" w:line="0"/>
              <w:ind w:left="3520" w:right="0" w:hanging="0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pacing w:lineRule="atLeast" w:line="0"/>
              <w:ind w:left="0" w:right="0" w:hanging="0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  <w:t xml:space="preserve">    </w:t>
            </w:r>
            <w:r>
              <w:rPr>
                <w:rFonts w:eastAsia="Arial" w:cs="Arial" w:ascii="Arial" w:hAnsi="Arial"/>
                <w:sz w:val="24"/>
              </w:rPr>
              <w:t>Colatina - ES,  ____/____/____</w:t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tLeast" w:line="0"/>
              <w:ind w:left="3520" w:right="0" w:hanging="0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pacing w:lineRule="atLeast" w:line="0"/>
              <w:ind w:left="0" w:right="0" w:hanging="0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  <w:t xml:space="preserve">     </w:t>
            </w:r>
            <w:r>
              <w:rPr>
                <w:rFonts w:eastAsia="Arial" w:cs="Arial" w:ascii="Arial" w:hAnsi="Arial"/>
                <w:sz w:val="24"/>
              </w:rPr>
              <w:t>_____________________________________________________</w:t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pacing w:lineRule="auto" w:line="240"/>
              <w:ind w:left="0" w:right="560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sz w:val="23"/>
              </w:rPr>
              <w:t xml:space="preserve">           </w:t>
            </w:r>
            <w:r>
              <w:rPr>
                <w:rFonts w:eastAsia="Arial" w:cs="Arial" w:ascii="Arial" w:hAnsi="Arial"/>
                <w:b/>
                <w:bCs/>
                <w:sz w:val="23"/>
              </w:rPr>
              <w:t xml:space="preserve">(assinatura do </w:t>
            </w:r>
            <w:r>
              <w:rPr>
                <w:rFonts w:eastAsia="Arial" w:cs="Arial" w:ascii="Arial" w:hAnsi="Arial"/>
                <w:b/>
                <w:bCs/>
                <w:color w:val="auto"/>
                <w:kern w:val="2"/>
                <w:sz w:val="23"/>
                <w:szCs w:val="24"/>
                <w:lang w:val="pt-BR" w:eastAsia="zh-CN" w:bidi="hi-IN"/>
              </w:rPr>
              <w:t>impugnante ou seu representante legal)</w:t>
            </w:r>
          </w:p>
        </w:tc>
      </w:tr>
      <w:tr>
        <w:trPr/>
        <w:tc>
          <w:tcPr>
            <w:tcW w:w="9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pacing w:lineRule="atLeast" w:line="0" w:before="0" w:after="0"/>
              <w:ind w:left="260" w:right="0" w:hanging="0"/>
              <w:jc w:val="center"/>
              <w:rPr>
                <w:rFonts w:ascii="Arial" w:hAnsi="Arial" w:eastAsia="Times New Roman" w:cs="Times New Roman"/>
                <w:b/>
                <w:b/>
                <w:bCs/>
                <w:color w:val="000000"/>
                <w:sz w:val="28"/>
                <w:szCs w:val="28"/>
                <w:shd w:fill="B2B2B2" w:val="clear"/>
                <w:lang w:eastAsia="pt-BR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sz w:val="28"/>
                <w:szCs w:val="28"/>
                <w:shd w:fill="B2B2B2" w:val="clear"/>
                <w:lang w:eastAsia="pt-BR"/>
              </w:rPr>
              <w:t xml:space="preserve">DOCUMENTAÇÃO </w:t>
            </w:r>
          </w:p>
        </w:tc>
      </w:tr>
      <w:tr>
        <w:trPr>
          <w:trHeight w:val="797" w:hRule="atLeast"/>
        </w:trPr>
        <w:tc>
          <w:tcPr>
            <w:tcW w:w="9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eastAsia="Arial" w:cs="Arial" w:ascii="Arial" w:hAnsi="Arial"/>
              </w:rPr>
              <w:t xml:space="preserve">- </w:t>
            </w:r>
            <w:r>
              <w:rPr>
                <w:rFonts w:eastAsia="Arial" w:cs="Arial" w:ascii="Arial" w:hAnsi="Arial"/>
                <w:color w:val="auto"/>
                <w:kern w:val="2"/>
                <w:sz w:val="24"/>
                <w:szCs w:val="24"/>
                <w:lang w:val="pt-BR" w:eastAsia="zh-CN" w:bidi="hi-IN"/>
              </w:rPr>
              <w:t xml:space="preserve">Requerimento </w:t>
            </w:r>
            <w:r>
              <w:rPr>
                <w:rFonts w:eastAsia="Arial" w:cs="Arial" w:ascii="Arial" w:hAnsi="Arial"/>
              </w:rPr>
              <w:t xml:space="preserve">devidamente preenchido e assinado, apontando </w:t>
            </w:r>
            <w:r>
              <w:rPr>
                <w:rFonts w:ascii="Arial" w:hAnsi="Arial"/>
              </w:rPr>
              <w:t>os motivos de fato e de direito em que se fundamente;</w:t>
            </w:r>
          </w:p>
        </w:tc>
      </w:tr>
      <w:tr>
        <w:trPr/>
        <w:tc>
          <w:tcPr>
            <w:tcW w:w="9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Cópia do ato impugnado (auto de infração, notificação de lançamento ou DAM); </w:t>
            </w:r>
          </w:p>
        </w:tc>
      </w:tr>
      <w:tr>
        <w:trPr/>
        <w:tc>
          <w:tcPr>
            <w:tcW w:w="9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Documentos comprobatórios das </w:t>
            </w:r>
            <w:r>
              <w:rPr>
                <w:rFonts w:eastAsia="SimSun" w:cs="Arial" w:ascii="Arial" w:hAnsi="Arial"/>
                <w:color w:val="auto"/>
                <w:kern w:val="2"/>
                <w:sz w:val="24"/>
                <w:szCs w:val="24"/>
                <w:lang w:val="pt-BR" w:eastAsia="zh-CN" w:bidi="hi-IN"/>
              </w:rPr>
              <w:t>alegações</w:t>
            </w:r>
            <w:r>
              <w:rPr>
                <w:rFonts w:ascii="Arial" w:hAnsi="Arial"/>
              </w:rPr>
              <w:t xml:space="preserve"> apresentadas;</w:t>
            </w:r>
          </w:p>
        </w:tc>
      </w:tr>
      <w:tr>
        <w:trPr/>
        <w:tc>
          <w:tcPr>
            <w:tcW w:w="9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- Cópia de documento de identificação que comprove a assinatura do requerente e, quando pessoa jurídica, documento comprovando a representação (cópia do contrato social, por exemplo);</w:t>
            </w:r>
          </w:p>
        </w:tc>
      </w:tr>
      <w:tr>
        <w:trPr/>
        <w:tc>
          <w:tcPr>
            <w:tcW w:w="9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- Procuração, </w:t>
            </w:r>
            <w:r>
              <w:rPr>
                <w:rFonts w:eastAsia="Arial" w:cs="Arial" w:ascii="Arial" w:hAnsi="Arial"/>
                <w:color w:val="auto"/>
                <w:kern w:val="2"/>
                <w:sz w:val="24"/>
                <w:szCs w:val="24"/>
                <w:lang w:val="pt-BR" w:eastAsia="zh-CN" w:bidi="hi-IN"/>
              </w:rPr>
              <w:t xml:space="preserve">quando assinado por terceiro não legitimado; </w:t>
            </w:r>
          </w:p>
        </w:tc>
      </w:tr>
      <w:tr>
        <w:trPr/>
        <w:tc>
          <w:tcPr>
            <w:tcW w:w="9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/>
            </w:pPr>
            <w:r>
              <w:rPr>
                <w:rFonts w:eastAsia="Arial" w:cs="Arial" w:ascii="Arial" w:hAnsi="Arial"/>
                <w:b/>
                <w:bCs/>
              </w:rPr>
              <w:t>OBS:</w:t>
            </w:r>
            <w:r>
              <w:rPr>
                <w:rFonts w:eastAsia="Arial" w:cs="Arial" w:ascii="Arial" w:hAnsi="Arial"/>
              </w:rPr>
              <w:t xml:space="preserve"> Requerimento dispensado do pagamento de taxa, conforme art. </w:t>
            </w:r>
            <w:r>
              <w:rPr>
                <w:rFonts w:eastAsia="Arial" w:cs="Arial" w:ascii="Arial" w:hAnsi="Arial"/>
                <w:color w:val="auto"/>
                <w:kern w:val="2"/>
                <w:sz w:val="24"/>
                <w:szCs w:val="24"/>
                <w:lang w:val="pt-BR" w:eastAsia="zh-CN" w:bidi="hi-IN"/>
              </w:rPr>
              <w:t>47, III, da Lei Complementar 96/2018.</w:t>
            </w:r>
          </w:p>
        </w:tc>
      </w:tr>
      <w:tr>
        <w:trPr/>
        <w:tc>
          <w:tcPr>
            <w:tcW w:w="9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pacing w:lineRule="atLeast" w:line="0" w:before="0" w:after="0"/>
              <w:ind w:left="260" w:right="0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sz w:val="24"/>
                <w:szCs w:val="24"/>
                <w:shd w:fill="B2B2B2" w:val="clear"/>
                <w:lang w:eastAsia="pt-BR"/>
              </w:rPr>
              <w:t xml:space="preserve">QUANDO UTILIZAR </w:t>
            </w:r>
            <w:r>
              <w:rPr>
                <w:rFonts w:eastAsia="Times New Roman" w:cs="Times New Roman" w:ascii="Arial" w:hAnsi="Arial"/>
                <w:b/>
                <w:bCs/>
                <w:color w:val="000000"/>
                <w:kern w:val="2"/>
                <w:sz w:val="24"/>
                <w:szCs w:val="24"/>
                <w:shd w:fill="B2B2B2" w:val="clear"/>
                <w:lang w:val="pt-BR" w:eastAsia="pt-BR" w:bidi="hi-IN"/>
              </w:rPr>
              <w:t>O REQUERIMENTO DE REVISÃO DE DADOS CADASTRAIS</w:t>
            </w:r>
            <w:r>
              <w:rPr>
                <w:rFonts w:eastAsia="Times New Roman" w:cs="Times New Roman" w:ascii="Arial" w:hAnsi="Arial"/>
                <w:b/>
                <w:bCs/>
                <w:color w:val="000000"/>
                <w:sz w:val="24"/>
                <w:szCs w:val="24"/>
                <w:shd w:fill="B2B2B2" w:val="clear"/>
                <w:lang w:eastAsia="pt-BR"/>
              </w:rPr>
              <w:t xml:space="preserve"> EM VEZ DA IMPUGNAÇÃO DE LANÇAMENTO?</w:t>
            </w:r>
          </w:p>
        </w:tc>
      </w:tr>
      <w:tr>
        <w:trPr/>
        <w:tc>
          <w:tcPr>
            <w:tcW w:w="9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pacing w:lineRule="atLeast" w:line="0" w:before="0" w:after="0"/>
              <w:ind w:left="260" w:right="0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val="pt-BR" w:eastAsia="pt-BR" w:bidi="hi-IN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lang w:val="pt-BR" w:eastAsia="pt-BR" w:bidi="hi-IN"/>
              </w:rPr>
              <w:t xml:space="preserve">Diferentemente da impugnação de lançamento, que possui prazo para apresentação, o requerimento para revisão de dados cadastrais pode ser apresentado a qualquer tempo, conforme art. 173, §4°, da Lei n° 2805/77. Além disso, o requerimento de revisão de dados cadastrais é menos formal e mais célere, pois se destina a contestar erros cadastrais que possam prejudicar o lançamento de tributos. Para discussão de questões de legalidade, recomenda-se impugnar o lançamento pelas vias formais. </w:t>
            </w:r>
          </w:p>
        </w:tc>
      </w:tr>
      <w:tr>
        <w:trPr/>
        <w:tc>
          <w:tcPr>
            <w:tcW w:w="9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645" w:type="dxa"/>
              <w:jc w:val="left"/>
              <w:tblInd w:w="0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9645"/>
            </w:tblGrid>
            <w:tr>
              <w:trPr/>
              <w:tc>
                <w:tcPr>
                  <w:tcW w:w="9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160" w:leader="none"/>
                    </w:tabs>
                    <w:bidi w:val="0"/>
                    <w:spacing w:lineRule="atLeast" w:line="0"/>
                    <w:ind w:left="260" w:right="0" w:hanging="0"/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cs="Times New Roman" w:ascii="Arial" w:hAnsi="Arial"/>
                      <w:b/>
                      <w:bCs/>
                      <w:color w:val="000000"/>
                      <w:sz w:val="24"/>
                      <w:szCs w:val="24"/>
                      <w:shd w:fill="B2B2B2" w:val="clear"/>
                      <w:lang w:eastAsia="pt-BR"/>
                    </w:rPr>
                    <w:t>QUANDO UTILIZAR O REQUERIMENTO DE REVISÃO DE VALOR VENAL EM VEZ DA IMPUGNAÇÃO DE LANÇAMENTO?</w:t>
                  </w:r>
                </w:p>
              </w:tc>
            </w:tr>
            <w:tr>
              <w:trPr/>
              <w:tc>
                <w:tcPr>
                  <w:tcW w:w="96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160" w:leader="none"/>
                    </w:tabs>
                    <w:bidi w:val="0"/>
                    <w:spacing w:lineRule="atLeast" w:line="0"/>
                    <w:ind w:left="260" w:right="0" w:hanging="0"/>
                    <w:jc w:val="both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color w:val="000000"/>
                      <w:sz w:val="24"/>
                      <w:szCs w:val="24"/>
                      <w:lang w:eastAsia="pt-BR"/>
                    </w:rPr>
                    <w:t xml:space="preserve">Assim como o requerimento para revisão de dados cadastrais, o requerimento para revisão de valor venal também pode ser apresentado a qualquer tempo, conforme </w:t>
                  </w:r>
                  <w:r>
                    <w:rPr>
                      <w:rFonts w:eastAsia="Arial" w:ascii="Arial" w:hAnsi="Arial"/>
                      <w:color w:val="000000"/>
                      <w:sz w:val="24"/>
                      <w:szCs w:val="24"/>
                      <w:lang w:eastAsia="pt-BR"/>
                    </w:rPr>
                    <w:t xml:space="preserve">art. 21-A, §4º, da Lei Complementar 12/1994, c/c </w:t>
                  </w:r>
                  <w:r>
                    <w:rPr>
                      <w:rFonts w:ascii="Arial" w:hAnsi="Arial"/>
                      <w:color w:val="000000"/>
                      <w:sz w:val="24"/>
                      <w:szCs w:val="24"/>
                      <w:lang w:eastAsia="pt-BR"/>
                    </w:rPr>
                    <w:t xml:space="preserve">art. 173, §4°, da Lei n° 2805/77. Além disso, o requerimento de revisão de valor venal destina-se, exclusivamente, à revisão do valor venal atribuído ao imóvel pela Prefeitura, utilizado para fins de cobrança do IPTU, sempre que o valor resultante da planta genérica de valores seja comprovadamente incompatível com o valor de mercado. Portanto, trata-se de um requerimento menos formal e mais célere, pois se destina a contestar apenas o valor venal. Para discussão de questões de legalidade, recomenda-se impugnar o lançamento pelas vias formais. </w:t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bidi w:val="0"/>
              <w:spacing w:lineRule="atLeast" w:line="0"/>
              <w:ind w:left="260" w:right="0" w:hanging="0"/>
              <w:jc w:val="center"/>
              <w:rPr>
                <w:rFonts w:ascii="Arial" w:hAnsi="Arial"/>
                <w:sz w:val="24"/>
                <w:szCs w:val="24"/>
                <w:shd w:fill="B2B2B2" w:val="clear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4"/>
                <w:szCs w:val="24"/>
                <w:shd w:fill="B2B2B2" w:val="clear"/>
                <w:lang w:eastAsia="pt-BR"/>
              </w:rPr>
              <w:t xml:space="preserve">QUANDO UTILIZAR O </w:t>
            </w:r>
            <w:r>
              <w:rPr>
                <w:rFonts w:cs="Times New Roman" w:ascii="Arial" w:hAnsi="Arial"/>
                <w:b/>
                <w:bCs/>
                <w:smallCaps/>
                <w:color w:val="000000"/>
                <w:sz w:val="24"/>
                <w:szCs w:val="24"/>
                <w:shd w:fill="B2B2B2" w:val="clear"/>
                <w:lang w:eastAsia="pt-BR"/>
              </w:rPr>
              <w:t>PEDIDO DE REVIS</w:t>
            </w:r>
            <w:r>
              <w:rPr>
                <w:rFonts w:cs="Times New Roman" w:ascii="Arial" w:hAnsi="Arial"/>
                <w:b/>
                <w:bCs/>
                <w:smallCaps/>
                <w:sz w:val="24"/>
                <w:szCs w:val="24"/>
                <w:shd w:fill="B2B2B2" w:val="clear"/>
              </w:rPr>
              <w:t>ÃO DE DÍVIDA INSCRITA (PRDI)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bidi w:val="0"/>
              <w:spacing w:lineRule="atLeast" w:line="0"/>
              <w:ind w:left="260" w:right="0" w:hanging="0"/>
              <w:jc w:val="center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  <w:shd w:fill="B2B2B2" w:val="clear"/>
                <w:lang w:eastAsia="pt-BR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4"/>
                <w:szCs w:val="24"/>
                <w:shd w:fill="B2B2B2" w:val="clear"/>
                <w:lang w:eastAsia="pt-BR"/>
              </w:rPr>
              <w:t>EM VEZ DA IMPUGNAÇÃO DE LANÇAMENTO?</w:t>
            </w:r>
          </w:p>
        </w:tc>
      </w:tr>
      <w:tr>
        <w:trPr/>
        <w:tc>
          <w:tcPr>
            <w:tcW w:w="9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bidi w:val="0"/>
              <w:spacing w:lineRule="atLeast" w:line="0"/>
              <w:ind w:left="2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O PRDI, que encontra fundamento no capítulo IX da IN SEMFAZ n° 04/2021,</w:t>
            </w:r>
            <w:r>
              <w:rPr>
                <w:rFonts w:ascii="Arial" w:hAnsi="Arial"/>
              </w:rPr>
              <w:t xml:space="preserve"> possibilita a reanálise, pela Superintendência de Arrecadação e Cobrança, dos requisitos de liquidez, certeza e exigibilidade dos débitos inscritos em dívida ativa do Município, de natureza tributária ou não tributária.</w:t>
            </w:r>
            <w:r>
              <w:rPr>
                <w:rFonts w:eastAsia="SimSun" w:cs="Arial" w:ascii="Arial" w:hAnsi="Arial"/>
                <w:color w:val="auto"/>
                <w:kern w:val="2"/>
                <w:sz w:val="24"/>
                <w:szCs w:val="24"/>
                <w:lang w:val="pt-BR" w:eastAsia="zh-CN" w:bidi="hi-IN"/>
              </w:rPr>
              <w:t xml:space="preserve"> Portanto, é o meio adequado para se buscar o cancelamento de débitos que não podem mais ser impugnados. Porém, existe um rol taxativo de situações que admitem o PRDI, listado no art. 18, §1°, da IN SEMFAZ n° 04/2021.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6160" w:leader="none"/>
        </w:tabs>
        <w:spacing w:lineRule="atLeast" w:line="0" w:before="0" w:after="0"/>
        <w:ind w:left="260" w:right="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shd w:fill="B2B2B2" w:val="clear"/>
          <w:lang w:eastAsia="pt-B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450" w:top="1245" w:footer="1135" w:bottom="137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 w:val="false"/>
        <w:b w:val="false"/>
        <w:bCs w:val="false"/>
        <w:sz w:val="18"/>
        <w:szCs w:val="18"/>
      </w:rPr>
    </w:pPr>
    <w:r>
      <w:rPr>
        <w:rFonts w:cs="Arial" w:ascii="Arial" w:hAnsi="Arial"/>
        <w:b w:val="false"/>
        <w:bCs w:val="false"/>
        <w:sz w:val="18"/>
        <w:szCs w:val="18"/>
      </w:rPr>
      <w:t>PREFEITURA MUNICIPAL DE COLATINA</w:t>
    </w:r>
  </w:p>
  <w:p>
    <w:pPr>
      <w:pStyle w:val="Normal"/>
      <w:jc w:val="center"/>
      <w:rPr>
        <w:rFonts w:ascii="Arial" w:hAnsi="Arial" w:cs="Arial"/>
        <w:b/>
        <w:b/>
        <w:bCs/>
        <w:sz w:val="18"/>
        <w:szCs w:val="18"/>
      </w:rPr>
    </w:pPr>
    <w:r>
      <w:rPr>
        <w:rFonts w:cs="Arial" w:ascii="Arial" w:hAnsi="Arial"/>
        <w:b/>
        <w:bCs/>
        <w:sz w:val="18"/>
        <w:szCs w:val="18"/>
      </w:rPr>
      <w:t>SECRETARIA MUNICIPAL DA FAZENDA</w:t>
    </w:r>
  </w:p>
  <w:p>
    <w:pPr>
      <w:pStyle w:val="Normal"/>
      <w:jc w:val="center"/>
      <w:rPr>
        <w:rFonts w:ascii="Arial" w:hAnsi="Arial" w:eastAsia="SimSun" w:cs="Arial"/>
        <w:b w:val="false"/>
        <w:b w:val="false"/>
        <w:bCs w:val="false"/>
        <w:color w:val="auto"/>
        <w:kern w:val="2"/>
        <w:sz w:val="18"/>
        <w:szCs w:val="18"/>
        <w:lang w:val="pt-BR" w:eastAsia="zh-CN" w:bidi="hi-IN"/>
      </w:rPr>
    </w:pPr>
    <w:r>
      <w:rPr>
        <w:rFonts w:eastAsia="SimSun" w:cs="Arial" w:ascii="Arial" w:hAnsi="Arial"/>
        <w:b w:val="false"/>
        <w:bCs w:val="false"/>
        <w:color w:val="auto"/>
        <w:kern w:val="2"/>
        <w:sz w:val="18"/>
        <w:szCs w:val="18"/>
        <w:lang w:val="pt-BR" w:eastAsia="zh-CN" w:bidi="hi-IN"/>
      </w:rPr>
      <w:t>SUPERINTENDÊNCIA DE FISCALIZAÇÃO TRIBUTÁRIA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SimSun" w:cs="Arial"/>
      <w:color w:val="auto"/>
      <w:kern w:val="2"/>
      <w:sz w:val="24"/>
      <w:szCs w:val="24"/>
      <w:lang w:val="pt-BR" w:eastAsia="zh-CN" w:bidi="hi-IN"/>
    </w:rPr>
  </w:style>
  <w:style w:type="character" w:styleId="Fontepargpadro">
    <w:name w:val="Fonte parág. padrão"/>
    <w:qFormat/>
    <w:rPr/>
  </w:style>
  <w:style w:type="character" w:styleId="WW8Num42z0">
    <w:name w:val="WW8Num42z0"/>
    <w:qFormat/>
    <w:rPr>
      <w:rFonts w:ascii="Arial" w:hAnsi="Arial" w:eastAsia="Arial" w:cs="Arial"/>
      <w:b/>
      <w:sz w:val="24"/>
    </w:rPr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>
      <w:rFonts w:ascii="Arial" w:hAnsi="Arial" w:eastAsia="Arial" w:cs="Arial"/>
      <w:b/>
      <w:sz w:val="24"/>
    </w:rPr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>
      <w:rFonts w:ascii="Arial" w:hAnsi="Arial" w:eastAsia="Arial" w:cs="Arial"/>
      <w:b/>
      <w:sz w:val="24"/>
    </w:rPr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>
      <w:rFonts w:ascii="Arial" w:hAnsi="Arial" w:eastAsia="Arial" w:cs="Arial"/>
      <w:b/>
      <w:sz w:val="24"/>
    </w:rPr>
  </w:style>
  <w:style w:type="character" w:styleId="WW8Num45z1">
    <w:name w:val="WW8Num45z1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WW8Num46z0">
    <w:name w:val="WW8Num46z0"/>
    <w:qFormat/>
    <w:rPr>
      <w:rFonts w:ascii="Arial" w:hAnsi="Arial" w:eastAsia="Arial" w:cs="Arial"/>
      <w:b/>
      <w:sz w:val="24"/>
    </w:rPr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Marcadores">
    <w:name w:val="Marcadores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/>
  </w:style>
  <w:style w:type="character" w:styleId="WW8Num41z5">
    <w:name w:val="WW8Num41z5"/>
    <w:qFormat/>
    <w:rPr/>
  </w:style>
  <w:style w:type="character" w:styleId="WW8Num41z4">
    <w:name w:val="WW8Num41z4"/>
    <w:qFormat/>
    <w:rPr/>
  </w:style>
  <w:style w:type="character" w:styleId="WW8Num41z3">
    <w:name w:val="WW8Num41z3"/>
    <w:qFormat/>
    <w:rPr/>
  </w:style>
  <w:style w:type="character" w:styleId="WW8Num41z2">
    <w:name w:val="WW8Num41z2"/>
    <w:qFormat/>
    <w:rPr/>
  </w:style>
  <w:style w:type="character" w:styleId="WW8Num41z1">
    <w:name w:val="WW8Num41z1"/>
    <w:qFormat/>
    <w:rPr/>
  </w:style>
  <w:style w:type="character" w:styleId="WW8Num41z0">
    <w:name w:val="WW8Num41z0"/>
    <w:qFormat/>
    <w:rPr>
      <w:rFonts w:ascii="Arial" w:hAnsi="Arial" w:eastAsia="Arial" w:cs="Arial"/>
      <w:b/>
      <w:sz w:val="19"/>
    </w:rPr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/>
  </w:style>
  <w:style w:type="character" w:styleId="WW8Num39z1">
    <w:name w:val="WW8Num39z1"/>
    <w:qFormat/>
    <w:rPr/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7z8">
    <w:name w:val="WW8Num37z8"/>
    <w:qFormat/>
    <w:rPr/>
  </w:style>
  <w:style w:type="character" w:styleId="WW8Num37z7">
    <w:name w:val="WW8Num37z7"/>
    <w:qFormat/>
    <w:rPr/>
  </w:style>
  <w:style w:type="character" w:styleId="WW8Num37z6">
    <w:name w:val="WW8Num37z6"/>
    <w:qFormat/>
    <w:rPr/>
  </w:style>
  <w:style w:type="character" w:styleId="WW8Num37z5">
    <w:name w:val="WW8Num37z5"/>
    <w:qFormat/>
    <w:rPr/>
  </w:style>
  <w:style w:type="character" w:styleId="WW8Num37z4">
    <w:name w:val="WW8Num37z4"/>
    <w:qFormat/>
    <w:rPr/>
  </w:style>
  <w:style w:type="character" w:styleId="WW8Num37z3">
    <w:name w:val="WW8Num37z3"/>
    <w:qFormat/>
    <w:rPr/>
  </w:style>
  <w:style w:type="character" w:styleId="WW8Num37z2">
    <w:name w:val="WW8Num37z2"/>
    <w:qFormat/>
    <w:rPr/>
  </w:style>
  <w:style w:type="character" w:styleId="WW8Num37z1">
    <w:name w:val="WW8Num37z1"/>
    <w:qFormat/>
    <w:rPr/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6z2">
    <w:name w:val="WW8Num36z2"/>
    <w:qFormat/>
    <w:rPr/>
  </w:style>
  <w:style w:type="character" w:styleId="WW8Num36z1">
    <w:name w:val="WW8Num36z1"/>
    <w:qFormat/>
    <w:rPr/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5z2">
    <w:name w:val="WW8Num35z2"/>
    <w:qFormat/>
    <w:rPr/>
  </w:style>
  <w:style w:type="character" w:styleId="WW8Num35z1">
    <w:name w:val="WW8Num35z1"/>
    <w:qFormat/>
    <w:rPr/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40z8">
    <w:name w:val="WW8Num40z8"/>
    <w:qFormat/>
    <w:rPr/>
  </w:style>
  <w:style w:type="character" w:styleId="WW8Num40z7">
    <w:name w:val="WW8Num40z7"/>
    <w:qFormat/>
    <w:rPr/>
  </w:style>
  <w:style w:type="character" w:styleId="WW8Num40z6">
    <w:name w:val="WW8Num40z6"/>
    <w:qFormat/>
    <w:rPr/>
  </w:style>
  <w:style w:type="character" w:styleId="WW8Num40z5">
    <w:name w:val="WW8Num40z5"/>
    <w:qFormat/>
    <w:rPr/>
  </w:style>
  <w:style w:type="character" w:styleId="WW8Num40z4">
    <w:name w:val="WW8Num40z4"/>
    <w:qFormat/>
    <w:rPr/>
  </w:style>
  <w:style w:type="character" w:styleId="WW8Num40z3">
    <w:name w:val="WW8Num40z3"/>
    <w:qFormat/>
    <w:rPr/>
  </w:style>
  <w:style w:type="character" w:styleId="WW8Num40z2">
    <w:name w:val="WW8Num40z2"/>
    <w:qFormat/>
    <w:rPr/>
  </w:style>
  <w:style w:type="character" w:styleId="WW8Num40z1">
    <w:name w:val="WW8Num40z1"/>
    <w:qFormat/>
    <w:rPr/>
  </w:style>
  <w:style w:type="character" w:styleId="WW8Num40z0">
    <w:name w:val="WW8Num40z0"/>
    <w:qFormat/>
    <w:rPr/>
  </w:style>
  <w:style w:type="character" w:styleId="WW8Num39z0">
    <w:name w:val="WW8Num39z0"/>
    <w:qFormat/>
    <w:rPr>
      <w:rFonts w:ascii="Arial" w:hAnsi="Arial" w:eastAsia="Arial" w:cs="Arial"/>
      <w:b/>
      <w:sz w:val="19"/>
    </w:rPr>
  </w:style>
  <w:style w:type="character" w:styleId="WW8Num38z0">
    <w:name w:val="WW8Num38z0"/>
    <w:qFormat/>
    <w:rPr>
      <w:rFonts w:ascii="Arial" w:hAnsi="Arial" w:eastAsia="Arial" w:cs="Arial"/>
      <w:b/>
    </w:rPr>
  </w:style>
  <w:style w:type="character" w:styleId="WW8Num37z0">
    <w:name w:val="WW8Num37z0"/>
    <w:qFormat/>
    <w:rPr>
      <w:rFonts w:ascii="Arial" w:hAnsi="Arial" w:eastAsia="Arial" w:cs="Arial"/>
      <w:b/>
      <w:sz w:val="19"/>
    </w:rPr>
  </w:style>
  <w:style w:type="character" w:styleId="WW8Num36z0">
    <w:name w:val="WW8Num36z0"/>
    <w:qFormat/>
    <w:rPr>
      <w:rFonts w:ascii="Arial" w:hAnsi="Arial" w:eastAsia="Arial" w:cs="Arial"/>
      <w:b/>
    </w:rPr>
  </w:style>
  <w:style w:type="character" w:styleId="WW8Num35z0">
    <w:name w:val="WW8Num35z0"/>
    <w:qFormat/>
    <w:rPr>
      <w:rFonts w:ascii="Arial" w:hAnsi="Arial" w:eastAsia="Arial" w:cs="Arial"/>
      <w:b/>
    </w:rPr>
  </w:style>
  <w:style w:type="character" w:styleId="WW8Num34z0">
    <w:name w:val="WW8Num34z0"/>
    <w:qFormat/>
    <w:rPr>
      <w:rFonts w:ascii="Arial" w:hAnsi="Arial" w:eastAsia="Arial" w:cs="Arial"/>
      <w:b/>
    </w:rPr>
  </w:style>
  <w:style w:type="character" w:styleId="WW8Num33z0">
    <w:name w:val="WW8Num33z0"/>
    <w:qFormat/>
    <w:rPr>
      <w:rFonts w:ascii="Arial" w:hAnsi="Arial" w:eastAsia="Arial" w:cs="Arial"/>
      <w:b/>
    </w:rPr>
  </w:style>
  <w:style w:type="character" w:styleId="WW8Num32z0">
    <w:name w:val="WW8Num32z0"/>
    <w:qFormat/>
    <w:rPr>
      <w:rFonts w:ascii="Arial" w:hAnsi="Arial" w:eastAsia="Arial" w:cs="Arial"/>
      <w:b/>
      <w:sz w:val="19"/>
    </w:rPr>
  </w:style>
  <w:style w:type="character" w:styleId="WW8Num31z0">
    <w:name w:val="WW8Num31z0"/>
    <w:qFormat/>
    <w:rPr>
      <w:rFonts w:ascii="Arial" w:hAnsi="Arial" w:eastAsia="Arial" w:cs="Arial"/>
      <w:b/>
      <w:sz w:val="19"/>
    </w:rPr>
  </w:style>
  <w:style w:type="character" w:styleId="WW8Num30z0">
    <w:name w:val="WW8Num30z0"/>
    <w:qFormat/>
    <w:rPr>
      <w:rFonts w:ascii="Arial" w:hAnsi="Arial" w:eastAsia="Arial" w:cs="Arial"/>
      <w:b/>
      <w:sz w:val="19"/>
    </w:rPr>
  </w:style>
  <w:style w:type="character" w:styleId="WW8Num29z0">
    <w:name w:val="WW8Num29z0"/>
    <w:qFormat/>
    <w:rPr>
      <w:rFonts w:ascii="Arial" w:hAnsi="Arial" w:eastAsia="Arial" w:cs="Arial"/>
      <w:b/>
      <w:sz w:val="19"/>
    </w:rPr>
  </w:style>
  <w:style w:type="character" w:styleId="WW8Num28z0">
    <w:name w:val="WW8Num28z0"/>
    <w:qFormat/>
    <w:rPr>
      <w:rFonts w:ascii="Arial" w:hAnsi="Arial" w:eastAsia="Arial" w:cs="Arial"/>
      <w:b/>
      <w:sz w:val="19"/>
    </w:rPr>
  </w:style>
  <w:style w:type="character" w:styleId="WW8Num27z0">
    <w:name w:val="WW8Num27z0"/>
    <w:qFormat/>
    <w:rPr>
      <w:rFonts w:ascii="Arial" w:hAnsi="Arial" w:eastAsia="Arial" w:cs="Arial"/>
      <w:b/>
      <w:sz w:val="19"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/>
  </w:style>
  <w:style w:type="character" w:styleId="WW8Num25z1">
    <w:name w:val="WW8Num25z1"/>
    <w:qFormat/>
    <w:rPr>
      <w:rFonts w:ascii="OpenSymbol;Arial Unicode MS" w:hAnsi="OpenSymbol;Arial Unicode MS" w:cs="OpenSymbol;Arial Unicode MS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4z1">
    <w:name w:val="WW8Num24z1"/>
    <w:qFormat/>
    <w:rPr>
      <w:rFonts w:ascii="OpenSymbol;Arial Unicode MS" w:hAnsi="OpenSymbol;Arial Unicode MS" w:cs="OpenSymbol;Arial Unicode M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3z1">
    <w:name w:val="WW8Num23z1"/>
    <w:qFormat/>
    <w:rPr>
      <w:rFonts w:ascii="OpenSymbol;Arial Unicode MS" w:hAnsi="OpenSymbol;Arial Unicode MS" w:cs="OpenSymbol;Arial Unicode MS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2z1">
    <w:name w:val="WW8Num22z1"/>
    <w:qFormat/>
    <w:rPr>
      <w:rFonts w:ascii="OpenSymbol;Arial Unicode MS" w:hAnsi="OpenSymbol;Arial Unicode MS" w:cs="OpenSymbol;Arial Unicode MS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1z1">
    <w:name w:val="WW8Num21z1"/>
    <w:qFormat/>
    <w:rPr>
      <w:rFonts w:ascii="OpenSymbol;Arial Unicode MS" w:hAnsi="OpenSymbol;Arial Unicode MS" w:cs="OpenSymbol;Arial Unicode MS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0z1">
    <w:name w:val="WW8Num20z1"/>
    <w:qFormat/>
    <w:rPr>
      <w:rFonts w:ascii="OpenSymbol;Arial Unicode MS" w:hAnsi="OpenSymbol;Arial Unicode MS" w:cs="OpenSymbol;Arial Unicode M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19z1">
    <w:name w:val="WW8Num19z1"/>
    <w:qFormat/>
    <w:rPr>
      <w:rFonts w:ascii="OpenSymbol;Arial Unicode MS" w:hAnsi="OpenSymbol;Arial Unicode MS" w:cs="OpenSymbol;Arial Unicode M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1">
    <w:name w:val="WW8Num17z1"/>
    <w:qFormat/>
    <w:rPr>
      <w:rFonts w:ascii="OpenSymbol;Arial Unicode MS" w:hAnsi="OpenSymbol;Arial Unicode MS" w:cs="OpenSymbol;Arial Unicode M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6z1">
    <w:name w:val="WW8Num16z1"/>
    <w:qFormat/>
    <w:rPr>
      <w:rFonts w:ascii="OpenSymbol;Arial Unicode MS" w:hAnsi="OpenSymbol;Arial Unicode MS" w:cs="OpenSymbol;Arial Unicode M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5z1">
    <w:name w:val="WW8Num15z1"/>
    <w:qFormat/>
    <w:rPr>
      <w:rFonts w:ascii="OpenSymbol;Arial Unicode MS" w:hAnsi="OpenSymbol;Arial Unicode MS" w:cs="OpenSymbol;Arial Unicode M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4z1">
    <w:name w:val="WW8Num14z1"/>
    <w:qFormat/>
    <w:rPr>
      <w:rFonts w:ascii="OpenSymbol;Arial Unicode MS" w:hAnsi="OpenSymbol;Arial Unicode MS" w:cs="OpenSymbol;Arial Unicode M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3z1">
    <w:name w:val="WW8Num13z1"/>
    <w:qFormat/>
    <w:rPr>
      <w:rFonts w:ascii="OpenSymbol;Arial Unicode MS" w:hAnsi="OpenSymbol;Arial Unicode MS" w:cs="OpenSymbol;Arial Unicode M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1">
    <w:name w:val="WW8Num11z1"/>
    <w:qFormat/>
    <w:rPr>
      <w:rFonts w:ascii="OpenSymbol;Arial Unicode MS" w:hAnsi="OpenSymbol;Arial Unicode MS" w:cs="OpenSymbol;Arial Unicode M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0z1">
    <w:name w:val="WW8Num10z1"/>
    <w:qFormat/>
    <w:rPr>
      <w:rFonts w:ascii="OpenSymbol;Arial Unicode MS" w:hAnsi="OpenSymbol;Arial Unicode MS" w:cs="OpenSymbol;Arial Unicode M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9z1">
    <w:name w:val="WW8Num9z1"/>
    <w:qFormat/>
    <w:rPr>
      <w:rFonts w:ascii="OpenSymbol;Arial Unicode MS" w:hAnsi="OpenSymbol;Arial Unicode MS" w:cs="OpenSymbol;Arial Unicode M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8z1">
    <w:name w:val="WW8Num8z1"/>
    <w:qFormat/>
    <w:rPr>
      <w:rFonts w:ascii="OpenSymbol;Arial Unicode MS" w:hAnsi="OpenSymbol;Arial Unicode MS" w:cs="OpenSymbol;Arial Unicode M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Symbol"/>
      <w:sz w:val="24"/>
      <w:szCs w:val="24"/>
      <w:lang w:eastAsia="pt-BR"/>
    </w:rPr>
  </w:style>
  <w:style w:type="character" w:styleId="WW8Num3z0">
    <w:name w:val="WW8Num3z0"/>
    <w:qFormat/>
    <w:rPr>
      <w:rFonts w:ascii="Arial" w:hAnsi="Arial" w:eastAsia="Arial" w:cs="Arial"/>
      <w:b/>
      <w:sz w:val="24"/>
      <w:szCs w:val="24"/>
    </w:rPr>
  </w:style>
  <w:style w:type="character" w:styleId="WW8Num2z0">
    <w:name w:val="WW8Num2z0"/>
    <w:qFormat/>
    <w:rPr>
      <w:rFonts w:ascii="Arial" w:hAnsi="Arial" w:eastAsia="Arial" w:cs="Arial"/>
      <w:b/>
      <w:sz w:val="24"/>
      <w:szCs w:val="24"/>
    </w:rPr>
  </w:style>
  <w:style w:type="character" w:styleId="WW8Num1z0">
    <w:name w:val="WW8Num1z0"/>
    <w:qFormat/>
    <w:rPr>
      <w:rFonts w:ascii="Arial" w:hAnsi="Arial" w:eastAsia="Arial" w:cs="Arial"/>
      <w:b/>
      <w:sz w:val="24"/>
      <w:szCs w:val="24"/>
    </w:rPr>
  </w:style>
  <w:style w:type="character" w:styleId="CabealhoChar">
    <w:name w:val="Cabeçalho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1">
    <w:name w:val="Título1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Default">
    <w:name w:val="Default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SimSun" w:cs="Arial"/>
      <w:color w:val="000000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20"/>
        <w:tab w:val="center" w:pos="5290" w:leader="none"/>
        <w:tab w:val="right" w:pos="10580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Rodap">
    <w:name w:val="Footer"/>
    <w:basedOn w:val="CabealhoeRodap"/>
    <w:pPr>
      <w:suppressLineNumbers/>
    </w:pPr>
    <w:rPr/>
  </w:style>
  <w:style w:type="paragraph" w:styleId="NormalTable">
    <w:name w:val="Normal Table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SimSun" w:cs="Times New Roman"/>
      <w:color w:val="auto"/>
      <w:kern w:val="0"/>
      <w:sz w:val="20"/>
      <w:szCs w:val="20"/>
      <w:lang w:val="pt-BR"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</TotalTime>
  <Application>LibreOffice/7.1.4.2$Windows_X86_64 LibreOffice_project/a529a4fab45b75fefc5b6226684193eb000654f6</Application>
  <AppVersion>15.0000</AppVersion>
  <Pages>2</Pages>
  <Words>575</Words>
  <Characters>3267</Characters>
  <CharactersWithSpaces>3826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2018-10-01T16:19:00Z</dcterms:created>
  <dc:creator>Mary Pereira de Menezes Bronzoni</dc:creator>
  <dc:description/>
  <dc:language>pt-BR</dc:language>
  <cp:lastModifiedBy/>
  <dcterms:modified xsi:type="dcterms:W3CDTF">2023-03-08T15:46:41Z</dcterms:modified>
  <cp:revision>30</cp:revision>
  <dc:subject/>
  <dc:title>Colatina, 18 de Novembro de 1999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